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69" w:lineRule="auto"/>
        <w:ind w:right="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61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от 27 ноября 2014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Порядок проведения оценки пожарного риска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32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I.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68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2"/>
        </w:numPr>
        <w:tabs>
          <w:tab w:val="left" w:pos="773"/>
        </w:tabs>
        <w:spacing w:after="0" w:line="289" w:lineRule="auto"/>
        <w:ind w:left="0" w:firstLine="384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Настоящий Порядок устанавливает требования к проведению оценки пожарного риска на объекте защиты.</w:t>
      </w:r>
    </w:p>
    <w:p w:rsidR="00000000" w:rsidDel="00000000" w:rsidP="00000000" w:rsidRDefault="00000000" w:rsidRPr="00000000" w14:paraId="0000000E">
      <w:pPr>
        <w:spacing w:after="0" w:line="176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2"/>
        </w:numPr>
        <w:tabs>
          <w:tab w:val="left" w:pos="713"/>
        </w:tabs>
        <w:spacing w:after="0" w:line="259" w:lineRule="auto"/>
        <w:ind w:left="0" w:right="2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Оценка пожарного риска проводится в целях определения соответствия объекта защиты требованиям пожарной безопасности в порядке, установленном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"Технический регламент о требованиях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пожарной безопасности"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 нормативными правовыми актами Российской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Федерации.</w:t>
      </w:r>
    </w:p>
    <w:p w:rsidR="00000000" w:rsidDel="00000000" w:rsidP="00000000" w:rsidRDefault="00000000" w:rsidRPr="00000000" w14:paraId="00000010">
      <w:pPr>
        <w:spacing w:after="0" w:line="216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2"/>
        </w:numPr>
        <w:tabs>
          <w:tab w:val="left" w:pos="779"/>
        </w:tabs>
        <w:spacing w:after="0" w:line="254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Объектами защиты являются производственные объекты и объекты непроизводственного назначения, для которых законодательством Российской Федерации о градостроительной деятельности предусмотрено проведение государственной экспертизы проектной документации, а также здания класса функциональной пожарной опасности Ф 1.1.</w:t>
      </w:r>
    </w:p>
    <w:p w:rsidR="00000000" w:rsidDel="00000000" w:rsidP="00000000" w:rsidRDefault="00000000" w:rsidRPr="00000000" w14:paraId="00000012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2"/>
        </w:numPr>
        <w:tabs>
          <w:tab w:val="left" w:pos="864"/>
        </w:tabs>
        <w:spacing w:after="0" w:line="257" w:lineRule="auto"/>
        <w:ind w:left="0" w:firstLine="480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производственным объектам относятся объекты промышленного и сельскохозяйственного назначения, в том числе склады, объекты инженерной</w:t>
      </w:r>
    </w:p>
    <w:p w:rsidR="00000000" w:rsidDel="00000000" w:rsidP="00000000" w:rsidRDefault="00000000" w:rsidRPr="00000000" w14:paraId="00000014">
      <w:pPr>
        <w:spacing w:after="0" w:line="14.399999999999999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2"/>
        </w:numPr>
        <w:tabs>
          <w:tab w:val="left" w:pos="234"/>
        </w:tabs>
        <w:spacing w:after="0" w:line="257" w:lineRule="auto"/>
        <w:ind w:left="0" w:right="20" w:firstLine="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транспортной инфраструктуры (железнодорожного, автомобильного, речного, морского, воздушного и трубопроводного транспорта), объекты связи.</w:t>
      </w:r>
    </w:p>
    <w:p w:rsidR="00000000" w:rsidDel="00000000" w:rsidP="00000000" w:rsidRDefault="00000000" w:rsidRPr="00000000" w14:paraId="00000016">
      <w:pPr>
        <w:spacing w:after="0" w:line="14.399999999999999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2"/>
        </w:numPr>
        <w:tabs>
          <w:tab w:val="left" w:pos="991"/>
        </w:tabs>
        <w:spacing w:after="0" w:line="248.00000000000006" w:lineRule="auto"/>
        <w:ind w:left="0" w:right="20" w:firstLine="48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объектам непроизводственного назначения относятся объекты общественного назначения, в том числе учреждения образования, здравоохранения, сервисного обслуживания населения, культурно-досуговой деятельности населения, временного пребывания населения (гостиницы, мотели, санатории, пансионаты, дома отдыха, учреждения туризма, лагеря для детей, общежития учебных заведений), жилые здания.</w:t>
      </w:r>
    </w:p>
    <w:p w:rsidR="00000000" w:rsidDel="00000000" w:rsidP="00000000" w:rsidRDefault="00000000" w:rsidRPr="00000000" w14:paraId="00000018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2"/>
        </w:numPr>
        <w:tabs>
          <w:tab w:val="left" w:pos="780"/>
        </w:tabs>
        <w:spacing w:after="0" w:lineRule="auto"/>
        <w:ind w:left="780" w:hanging="30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зданиям класса функциональной пожарной опасности Ф 1.1 относятся</w:t>
      </w:r>
    </w:p>
    <w:p w:rsidR="00000000" w:rsidDel="00000000" w:rsidP="00000000" w:rsidRDefault="00000000" w:rsidRPr="00000000" w14:paraId="0000001A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57" w:lineRule="auto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здания детских дошкольных образовательных учреждений, специализированных домов престарелых и инвалидов (неквартирные), больницы, спальные корпуса образовательных учреждений интернатного типа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2"/>
        </w:numPr>
        <w:tabs>
          <w:tab w:val="left" w:pos="240"/>
        </w:tabs>
        <w:spacing w:after="0" w:lineRule="auto"/>
        <w:ind w:left="240" w:hanging="24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детских учреждений.</w:t>
      </w:r>
    </w:p>
    <w:p w:rsidR="00000000" w:rsidDel="00000000" w:rsidP="00000000" w:rsidRDefault="00000000" w:rsidRPr="00000000" w14:paraId="0000001E">
      <w:pPr>
        <w:spacing w:after="0" w:line="261.99999999999994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3"/>
        </w:numPr>
        <w:tabs>
          <w:tab w:val="left" w:pos="700"/>
        </w:tabs>
        <w:spacing w:after="0" w:lineRule="auto"/>
        <w:ind w:left="700" w:hanging="316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Оценка пожарного риска проводится в случаях:</w:t>
      </w:r>
    </w:p>
    <w:p w:rsidR="00000000" w:rsidDel="00000000" w:rsidP="00000000" w:rsidRDefault="00000000" w:rsidRPr="00000000" w14:paraId="00000020">
      <w:pPr>
        <w:rPr/>
        <w:sectPr>
          <w:pgSz w:h="16840" w:w="11900"/>
          <w:pgMar w:bottom="45" w:top="1304" w:left="720" w:right="720" w:header="0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89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а) составления декларации пожарной безопасности в отношении объектов защиты, для которых предусмотрено проведение расчета риска;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6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 ) обоснования обеспечения пожарной безопасности объектов защиты, для которых федеральными законами о технических регламентах не установлены требования пожарной безопасности.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4"/>
        </w:numPr>
        <w:tabs>
          <w:tab w:val="left" w:pos="803"/>
        </w:tabs>
        <w:spacing w:after="0" w:line="259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Оценка пожарного риска проводится путем определения расчетных величин пожарного риска на объекте защиты и сопоставления их с соответствующими нормативными значениями пожарных рисков, установленными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"Технический регламент о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требованиях пожарной безопасности"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pacing w:after="0" w:line="216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4"/>
        </w:numPr>
        <w:tabs>
          <w:tab w:val="left" w:pos="730"/>
        </w:tabs>
        <w:spacing w:after="0" w:line="269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Расчетные величины пожарного риска являются количественной мерой возможности реализации пожарной опасности объекта защиты и ее последствий для людей и материальных ценностей.</w:t>
      </w:r>
    </w:p>
    <w:p w:rsidR="00000000" w:rsidDel="00000000" w:rsidP="00000000" w:rsidRDefault="00000000" w:rsidRPr="00000000" w14:paraId="00000028">
      <w:pPr>
        <w:spacing w:after="0" w:line="203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4"/>
        </w:numPr>
        <w:tabs>
          <w:tab w:val="left" w:pos="784"/>
        </w:tabs>
        <w:spacing w:after="0" w:line="269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Количественной мерой возможности реализации пожарной опасности производственных объектов является риск гибели людей при пожарах, в том числе:</w:t>
      </w:r>
    </w:p>
    <w:p w:rsidR="00000000" w:rsidDel="00000000" w:rsidP="00000000" w:rsidRDefault="00000000" w:rsidRPr="00000000" w14:paraId="0000002A">
      <w:pPr>
        <w:spacing w:after="0" w:line="2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а) риск гибели персонала производственного объекта;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7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б) риск гибели людей, находящихся в селитебной зоне вблизи производственного объекта (населения, проживающего на прилегающей к производственному объекту территории).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55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Риск гибели людей при пожарах на производственных объектах характеризуется числовыми значениями индивидуального и социального пожарных рисков.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2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left" w:pos="773"/>
        </w:tabs>
        <w:spacing w:after="0" w:line="255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Величина индивидуального риска для работника из числа персонала производственного объекта определяется как частота поражения определенного работника производственного объекта опасными факторами пожара в течение года.</w:t>
      </w:r>
    </w:p>
    <w:p w:rsidR="00000000" w:rsidDel="00000000" w:rsidP="00000000" w:rsidRDefault="00000000" w:rsidRPr="00000000" w14:paraId="00000032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53" w:lineRule="auto"/>
        <w:ind w:firstLine="48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Индивидуальный риск для работника производственного объекта определяется как сумма величин индивидуального риска при нахождении работника на территории и зданиях, строениях и сооружениях производственного объекта.</w:t>
      </w:r>
    </w:p>
    <w:p w:rsidR="00000000" w:rsidDel="00000000" w:rsidP="00000000" w:rsidRDefault="00000000" w:rsidRPr="00000000" w14:paraId="00000034">
      <w:pPr>
        <w:spacing w:after="0" w:line="226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tabs>
          <w:tab w:val="left" w:pos="713"/>
        </w:tabs>
        <w:spacing w:after="0" w:line="269" w:lineRule="auto"/>
        <w:ind w:left="0" w:right="2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Для производственных объектов социальный риск принимается равным частоте возникновения событий, при реализации которых может пострадать не менее 10 человек.</w:t>
      </w:r>
    </w:p>
    <w:p w:rsidR="00000000" w:rsidDel="00000000" w:rsidP="00000000" w:rsidRDefault="00000000" w:rsidRPr="00000000" w14:paraId="00000036">
      <w:pPr>
        <w:spacing w:after="0" w:line="203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pos="912"/>
        </w:tabs>
        <w:spacing w:after="0" w:line="269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Количественной мерой возможности реализации пожарной опасности объектов непроизводственного назначения является индивидуальный риск гибели людей, находящихся на объекте.</w:t>
      </w:r>
    </w:p>
    <w:p w:rsidR="00000000" w:rsidDel="00000000" w:rsidP="00000000" w:rsidRDefault="00000000" w:rsidRPr="00000000" w14:paraId="00000038">
      <w:pPr>
        <w:rPr/>
        <w:sectPr>
          <w:type w:val="nextPage"/>
          <w:pgSz w:h="16840" w:w="11900"/>
          <w:pgMar w:bottom="0" w:top="824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tabs>
          <w:tab w:val="left" w:pos="1040"/>
        </w:tabs>
        <w:spacing w:after="0" w:line="261.99999999999994" w:lineRule="auto"/>
        <w:ind w:left="0" w:right="2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Величина индивидуального пожарного риска для персонала и посетителей, находящихся в зданиях и сооружениях объектов непроизводственного назначения, определяется как частота воздействия опасных факторов пожара на человека в течение года.</w:t>
      </w:r>
    </w:p>
    <w:p w:rsidR="00000000" w:rsidDel="00000000" w:rsidP="00000000" w:rsidRDefault="00000000" w:rsidRPr="00000000" w14:paraId="0000003A">
      <w:pPr>
        <w:spacing w:after="0" w:line="214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tabs>
          <w:tab w:val="left" w:pos="917"/>
        </w:tabs>
        <w:spacing w:after="0" w:line="289" w:lineRule="auto"/>
        <w:ind w:left="0" w:firstLine="384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Расчет по оценке пожарного риска на объекте непроизводственного назначения допускается не проводить для:</w:t>
      </w:r>
    </w:p>
    <w:p w:rsidR="00000000" w:rsidDel="00000000" w:rsidP="00000000" w:rsidRDefault="00000000" w:rsidRPr="00000000" w14:paraId="0000003C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89" w:lineRule="auto"/>
        <w:ind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а) объектов индивидуального жилищного строительства высотой не более трех этажей;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89" w:lineRule="auto"/>
        <w:ind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б) хозяйственных построек на дачных, огородных, садовых и приусадебных участках;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29" w:lineRule="auto"/>
        <w:ind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в) отдельно стоящих зданий и сооружений высотой не более двух этажей, общей площадью не более 300 м и одновременным нахождением не более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2865120</wp:posOffset>
            </wp:positionH>
            <wp:positionV relativeFrom="paragraph">
              <wp:posOffset>-248283</wp:posOffset>
            </wp:positionV>
            <wp:extent cx="133985" cy="28067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280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tabs>
          <w:tab w:val="left" w:pos="380"/>
        </w:tabs>
        <w:spacing w:after="0" w:lineRule="auto"/>
        <w:ind w:left="380" w:hanging="3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человек.</w:t>
      </w:r>
    </w:p>
    <w:p w:rsidR="00000000" w:rsidDel="00000000" w:rsidP="00000000" w:rsidRDefault="00000000" w:rsidRPr="00000000" w14:paraId="00000044">
      <w:pPr>
        <w:spacing w:after="0" w:line="261.99999999999994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tabs>
          <w:tab w:val="left" w:pos="902"/>
        </w:tabs>
        <w:spacing w:after="0" w:line="254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Для оценки пожарного риска производственных объектов и объектов непроизводственного назначения используются вероятностные критерии поражения людей и окружающих зданий и оборудования опасными факторами пожара. Детерминированные критерии применяются при невозможности применения вероятностных критериев.</w:t>
      </w:r>
    </w:p>
    <w:p w:rsidR="00000000" w:rsidDel="00000000" w:rsidP="00000000" w:rsidRDefault="00000000" w:rsidRPr="00000000" w14:paraId="00000046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3" w:lineRule="auto"/>
        <w:ind w:firstLine="48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Для объектов защиты, в связи с компенсированием погрешности в определении величины пожарного риска с применением вероятностных критериев, необходимо увеличение индивидуального и социального пожарных рисков на коэффициент безопасности 0,8.</w:t>
      </w:r>
    </w:p>
    <w:p w:rsidR="00000000" w:rsidDel="00000000" w:rsidP="00000000" w:rsidRDefault="00000000" w:rsidRPr="00000000" w14:paraId="00000048">
      <w:pPr>
        <w:spacing w:after="0" w:line="226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tabs>
          <w:tab w:val="left" w:pos="853"/>
        </w:tabs>
        <w:spacing w:after="0" w:line="261.99999999999994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Объект защиты не соответствует требованиям пожарной безопасности, если расчетные величины индивидуальных и социальных пожарных рисков с учетом коэффициента безопасности составляют более нормативных значений пожарных рисков.</w:t>
      </w:r>
    </w:p>
    <w:p w:rsidR="00000000" w:rsidDel="00000000" w:rsidP="00000000" w:rsidRDefault="00000000" w:rsidRPr="00000000" w14:paraId="0000004A">
      <w:pPr>
        <w:spacing w:after="0" w:line="214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tabs>
          <w:tab w:val="left" w:pos="856"/>
        </w:tabs>
        <w:spacing w:after="0" w:line="261.99999999999994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Расчетные величины пожарного риска определяются с использованием методик, утвержденных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Del="00000000" w:rsidP="00000000" w:rsidRDefault="00000000" w:rsidRPr="00000000" w14:paraId="0000004C">
      <w:pPr>
        <w:spacing w:after="0" w:line="214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tabs>
          <w:tab w:val="left" w:pos="840"/>
        </w:tabs>
        <w:spacing w:after="0" w:lineRule="auto"/>
        <w:ind w:left="840" w:hanging="456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Методики должны быть:</w:t>
      </w:r>
    </w:p>
    <w:p w:rsidR="00000000" w:rsidDel="00000000" w:rsidP="00000000" w:rsidRDefault="00000000" w:rsidRPr="00000000" w14:paraId="0000004E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а) научно обоснованными;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б) соответствовать рассматриваемым опасностям;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в) повторяемыми и проверяемыми.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  <w:sectPr>
          <w:type w:val="nextPage"/>
          <w:pgSz w:h="16840" w:w="11900"/>
          <w:pgMar w:bottom="429" w:top="786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tabs>
          <w:tab w:val="left" w:pos="840"/>
        </w:tabs>
        <w:spacing w:after="0" w:lineRule="auto"/>
        <w:ind w:left="840" w:hanging="456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Методики должны содержать порядок:</w:t>
      </w:r>
    </w:p>
    <w:p w:rsidR="00000000" w:rsidDel="00000000" w:rsidP="00000000" w:rsidRDefault="00000000" w:rsidRPr="00000000" w14:paraId="00000056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а) анализа пожарной опасности объекта защиты;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б) определения частоты реализации пожароопасных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89" w:lineRule="auto"/>
        <w:ind w:right="20"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в) построения полей опасных факторов пожара для различных сценариев его развития;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89" w:lineRule="auto"/>
        <w:ind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г) оценки последствий воздействия опасных факторов пожара на людей для различных сценариев его развития;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д) вычисления пожарного риска.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6"/>
        </w:numPr>
        <w:tabs>
          <w:tab w:val="left" w:pos="1046"/>
        </w:tabs>
        <w:spacing w:after="0" w:line="259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 методики должны быть внесены изменения и дополнения, учитывающие изменения нормативных правовых актов Российской Федерации по пожарной безопасности и нормативных документов по пожарной безопасности, результаты научных исследований, накопленный отечественный и международный опыт в области оценки пожарных рисков.</w:t>
      </w:r>
    </w:p>
    <w:p w:rsidR="00000000" w:rsidDel="00000000" w:rsidP="00000000" w:rsidRDefault="00000000" w:rsidRPr="00000000" w14:paraId="00000062">
      <w:pPr>
        <w:spacing w:after="0" w:line="216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6"/>
        </w:numPr>
        <w:tabs>
          <w:tab w:val="left" w:pos="941"/>
        </w:tabs>
        <w:spacing w:after="0" w:line="261.99999999999994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При выполнении обязательных требований пожарной безопасности, установленных федеральными законами о технических регламентах, и требований нормативных документов по пожарной безопасности расчет пожарного риска не требуется.</w:t>
      </w:r>
    </w:p>
    <w:p w:rsidR="00000000" w:rsidDel="00000000" w:rsidP="00000000" w:rsidRDefault="00000000" w:rsidRPr="00000000" w14:paraId="00000064">
      <w:pPr>
        <w:spacing w:after="0" w:line="214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6"/>
        </w:numPr>
        <w:tabs>
          <w:tab w:val="left" w:pos="860"/>
        </w:tabs>
        <w:spacing w:after="0" w:lineRule="auto"/>
        <w:ind w:left="860" w:hanging="476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Расчеты по оценке пожарного риска проводятся юридическими лицами</w:t>
      </w:r>
    </w:p>
    <w:p w:rsidR="00000000" w:rsidDel="00000000" w:rsidP="00000000" w:rsidRDefault="00000000" w:rsidRPr="00000000" w14:paraId="00000066">
      <w:pPr>
        <w:spacing w:after="0" w:line="61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tabs>
          <w:tab w:val="left" w:pos="377"/>
        </w:tabs>
        <w:spacing w:after="0" w:line="255" w:lineRule="auto"/>
        <w:ind w:left="0" w:firstLine="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индивидуальными предпринимателями при условии подтверждения их компетентности, позволяющей выполнять эти расчеты по оценке пожарного риска.</w:t>
      </w:r>
    </w:p>
    <w:p w:rsidR="00000000" w:rsidDel="00000000" w:rsidP="00000000" w:rsidRDefault="00000000" w:rsidRPr="00000000" w14:paraId="00000068">
      <w:pPr>
        <w:spacing w:after="0" w:line="223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1"/>
          <w:numId w:val="8"/>
        </w:numPr>
        <w:tabs>
          <w:tab w:val="left" w:pos="1056"/>
        </w:tabs>
        <w:spacing w:after="0" w:line="255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Процедура подтверждения компетентности юридических лиц и индивидуальных предпринимателей для проведения расчетов по оценке пожарного риска и проверка их деятельности на предмет соответствия выполняемых расчетов требованиям настоящего Порядка осуществляются в порядке, устанавливаемом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Del="00000000" w:rsidP="00000000" w:rsidRDefault="00000000" w:rsidRPr="00000000" w14:paraId="0000006A">
      <w:pPr>
        <w:spacing w:after="0" w:line="226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8"/>
        </w:numPr>
        <w:tabs>
          <w:tab w:val="left" w:pos="1107"/>
        </w:tabs>
        <w:spacing w:after="0" w:line="261.99999999999994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Проверка деятельности юридических лиц и индивидуальных предпринимателей на предмет соответствия выполняемых ими расчетов требованиям настоящего Порядка осуществляется не чаще одного раза в 2 года.</w:t>
      </w:r>
    </w:p>
    <w:p w:rsidR="00000000" w:rsidDel="00000000" w:rsidP="00000000" w:rsidRDefault="00000000" w:rsidRPr="00000000" w14:paraId="0000006C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5"/>
        </w:numPr>
        <w:tabs>
          <w:tab w:val="left" w:pos="883"/>
        </w:tabs>
        <w:spacing w:after="0" w:line="263.00000000000006" w:lineRule="auto"/>
        <w:ind w:left="0" w:firstLine="384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 отношении объектов защиты специального назначения, в том числе объектов военного назначения, объектов производства, переработки, хранения радиоактивных и взрывчатых веществ и материалов, объектов уничтожения и хранения химического оружия и средств взрывания, наземных космических объектов и стартовых комплексов, горных выработок, объектов, расположенных в лесах, наряду с требованиями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Федерального закона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"Технический регламент о требованиях пожарной безопасности"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и настоящего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Порядка должны соблюдаться требования пожарной безопасности, установленные нормативными правовыми актами Российской Федерации.</w:t>
      </w:r>
    </w:p>
    <w:p w:rsidR="00000000" w:rsidDel="00000000" w:rsidP="00000000" w:rsidRDefault="00000000" w:rsidRPr="00000000" w14:paraId="0000006E">
      <w:pPr>
        <w:spacing w:after="0" w:line="222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1"/>
          <w:numId w:val="5"/>
        </w:numPr>
        <w:tabs>
          <w:tab w:val="left" w:pos="877"/>
        </w:tabs>
        <w:spacing w:after="0" w:line="274" w:lineRule="auto"/>
        <w:ind w:left="0" w:firstLine="384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Юридические лица и индивидуальные предприниматели, проводившие расчеты по оценке пожарного риска, несут ответственность в соответствии с законодательством Российской Федерации за полноту и достоверность сведений, содержащихся в расчетах при оценке пожарного риска.</w:t>
      </w:r>
    </w:p>
    <w:p w:rsidR="00000000" w:rsidDel="00000000" w:rsidP="00000000" w:rsidRDefault="00000000" w:rsidRPr="00000000" w14:paraId="00000070">
      <w:pPr>
        <w:spacing w:after="0" w:line="231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7"/>
        </w:numPr>
        <w:tabs>
          <w:tab w:val="left" w:pos="384"/>
        </w:tabs>
        <w:spacing w:after="0" w:line="275" w:lineRule="auto"/>
        <w:ind w:left="0" w:right="580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Требования к компетентности юридических лиц и индивидуальных предпринимателей для проведения расчетов по оценке пожарного риска</w:t>
      </w:r>
    </w:p>
    <w:p w:rsidR="00000000" w:rsidDel="00000000" w:rsidP="00000000" w:rsidRDefault="00000000" w:rsidRPr="00000000" w14:paraId="00000072">
      <w:pPr>
        <w:spacing w:after="0" w:line="200" w:lineRule="auto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03" w:lineRule="auto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1"/>
          <w:numId w:val="7"/>
        </w:numPr>
        <w:tabs>
          <w:tab w:val="left" w:pos="848"/>
        </w:tabs>
        <w:spacing w:after="0" w:line="254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Юридические лица и индивидуальные предприниматели, претендующие на проведение расчетов по оценке пожарного риска, направляют заявку (заявление)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Del="00000000" w:rsidP="00000000" w:rsidRDefault="00000000" w:rsidRPr="00000000" w14:paraId="00000075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ind w:left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К заявлению прилагаются:</w:t>
      </w:r>
    </w:p>
    <w:p w:rsidR="00000000" w:rsidDel="00000000" w:rsidP="00000000" w:rsidRDefault="00000000" w:rsidRPr="00000000" w14:paraId="00000077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8.00000000000006" w:lineRule="auto"/>
        <w:ind w:firstLine="48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- копии учредительных документов и копия свидетельства о государственной регистрации в качестве юридического лица или индивидуального предпринимателя, заверенные в установленном порядке;</w:t>
      </w:r>
    </w:p>
    <w:p w:rsidR="00000000" w:rsidDel="00000000" w:rsidP="00000000" w:rsidRDefault="00000000" w:rsidRPr="00000000" w14:paraId="00000079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8.00000000000006" w:lineRule="auto"/>
        <w:ind w:firstLine="48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- копия свидетельства о постановке юридического лица или индивидуального предпринимателя на учет в налоговом органе, заверенная в установленном порядке;</w:t>
      </w:r>
    </w:p>
    <w:p w:rsidR="00000000" w:rsidDel="00000000" w:rsidP="00000000" w:rsidRDefault="00000000" w:rsidRPr="00000000" w14:paraId="0000007B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ind w:left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- руководство по качеству, содержащее следующие разделы и сведения:</w:t>
      </w:r>
    </w:p>
    <w:p w:rsidR="00000000" w:rsidDel="00000000" w:rsidP="00000000" w:rsidRDefault="00000000" w:rsidRPr="00000000" w14:paraId="0000007D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8.00000000000006" w:lineRule="auto"/>
        <w:ind w:firstLine="48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- заявление о политике в области качества осуществления работ по оценке пожарных рисков на объектах защиты, находящихся в стадии проектирования, строительства (реконструкции, расширения, технического перевооружения, консервации, ликвидации), эксплуатации;</w:t>
      </w:r>
    </w:p>
    <w:p w:rsidR="00000000" w:rsidDel="00000000" w:rsidP="00000000" w:rsidRDefault="00000000" w:rsidRPr="00000000" w14:paraId="0000007F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8.00000000000006" w:lineRule="auto"/>
        <w:ind w:right="20" w:firstLine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- порядок и сроки повышения квалификации специалистов, занятых в оценке пожарных рисков;</w:t>
      </w:r>
    </w:p>
    <w:p w:rsidR="00000000" w:rsidDel="00000000" w:rsidP="00000000" w:rsidRDefault="00000000" w:rsidRPr="00000000" w14:paraId="00000081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8.00000000000006" w:lineRule="auto"/>
        <w:ind w:firstLine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- организационную схему, отражающую подчиненность, ответственность и распределение обязанностей персонала;</w:t>
      </w:r>
    </w:p>
    <w:p w:rsidR="00000000" w:rsidDel="00000000" w:rsidP="00000000" w:rsidRDefault="00000000" w:rsidRPr="00000000" w14:paraId="00000083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ind w:left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- процедуру оценки пожарных рисков, включая:</w:t>
      </w:r>
    </w:p>
    <w:p w:rsidR="00000000" w:rsidDel="00000000" w:rsidP="00000000" w:rsidRDefault="00000000" w:rsidRPr="00000000" w14:paraId="00000085">
      <w:pPr>
        <w:rPr/>
        <w:sectPr>
          <w:type w:val="nextPage"/>
          <w:pgSz w:h="16840" w:w="11900"/>
          <w:pgMar w:bottom="1063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а) этапы оценки пожарных рисков: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5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9"/>
        </w:numPr>
        <w:tabs>
          <w:tab w:val="left" w:pos="660"/>
        </w:tabs>
        <w:spacing w:after="0" w:lineRule="auto"/>
        <w:ind w:left="660" w:hanging="18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прием и рассмотрение заявок (заявлений) для оценки пожарных рисков;</w:t>
      </w:r>
    </w:p>
    <w:p w:rsidR="00000000" w:rsidDel="00000000" w:rsidP="00000000" w:rsidRDefault="00000000" w:rsidRPr="00000000" w14:paraId="00000089">
      <w:pPr>
        <w:spacing w:after="0" w:line="23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9"/>
        </w:numPr>
        <w:tabs>
          <w:tab w:val="left" w:pos="660"/>
        </w:tabs>
        <w:spacing w:after="0" w:lineRule="auto"/>
        <w:ind w:left="660" w:hanging="1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заключение договора на проведение оценки пожарных рисков;</w:t>
      </w:r>
    </w:p>
    <w:p w:rsidR="00000000" w:rsidDel="00000000" w:rsidP="00000000" w:rsidRDefault="00000000" w:rsidRPr="00000000" w14:paraId="0000008B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9"/>
        </w:numPr>
        <w:tabs>
          <w:tab w:val="left" w:pos="771"/>
        </w:tabs>
        <w:spacing w:after="0" w:line="248.00000000000006" w:lineRule="auto"/>
        <w:ind w:left="0" w:firstLine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подготовку и утверждение программы проведения оценки пожарных рисков и персонального состава экспертной группы;</w:t>
      </w:r>
    </w:p>
    <w:p w:rsidR="00000000" w:rsidDel="00000000" w:rsidP="00000000" w:rsidRDefault="00000000" w:rsidRPr="00000000" w14:paraId="0000008D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9"/>
        </w:numPr>
        <w:tabs>
          <w:tab w:val="left" w:pos="660"/>
        </w:tabs>
        <w:spacing w:after="0" w:lineRule="auto"/>
        <w:ind w:left="660" w:hanging="1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обследование объекта защиты;</w:t>
      </w:r>
    </w:p>
    <w:p w:rsidR="00000000" w:rsidDel="00000000" w:rsidP="00000000" w:rsidRDefault="00000000" w:rsidRPr="00000000" w14:paraId="0000008F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9"/>
        </w:numPr>
        <w:tabs>
          <w:tab w:val="left" w:pos="659"/>
        </w:tabs>
        <w:spacing w:after="0" w:line="248.00000000000006" w:lineRule="auto"/>
        <w:ind w:left="0" w:firstLine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подготовку документации по оценке пожарных рисков и выдачу отчета на объект защиты;</w:t>
      </w:r>
    </w:p>
    <w:p w:rsidR="00000000" w:rsidDel="00000000" w:rsidP="00000000" w:rsidRDefault="00000000" w:rsidRPr="00000000" w14:paraId="00000091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9"/>
        </w:numPr>
        <w:tabs>
          <w:tab w:val="left" w:pos="653"/>
        </w:tabs>
        <w:spacing w:after="0" w:line="248.00000000000006" w:lineRule="auto"/>
        <w:ind w:left="480" w:firstLine="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ведение реестра выданных отчетов по оценке пожарных рисков; направление в заинтересованные органы государственного надзора</w:t>
      </w:r>
    </w:p>
    <w:p w:rsidR="00000000" w:rsidDel="00000000" w:rsidP="00000000" w:rsidRDefault="00000000" w:rsidRPr="00000000" w14:paraId="0000009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8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информации о нарушениях, выявленных на объекте защиты при проведении оценки пожарных рисков и создающих угрозу жизни и здоровью людей;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19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8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б) порядок подготовки и установления срока действия отчетов по оценке пожарных рисков;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в) немедленное информирование соответствующих органов государственного надзора при выявлении в ходе оценки пожарных рисков недостатков, которые могут привести к недопустимому риску для жизни и здоровья людей;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1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г) порядок ведения архивов;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8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д) страхование гражданской ответственности при проведении оценки пожарных рисков;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6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е) процедуру приостановки (прекращения) деятельности в случае неподтверждения компетентности, не позволяющей выполнять расчеты по оценке пожарного риска;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ж) документ, подтверждающий наличие у заявителя актуализированного фонда (или автоматизированной информационно-справочной системы) официально изданных нормативных и справочных документов по проведению оценки пожарных рисков;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з) сведения о квалификации персонала.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5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50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Для подтверждения квалификации персонала заявитель представляет заверенные в установленном порядке копии дипломов об образовании и выписки из трудовых книжек персонала, договоров (трудовых соглашений) с временно привлекаемым персоналом, документов, удостоверяющих окончание персоналом специализированных курсов повышения квалификации (если образование по профилю деятельности получено или предыдущие специализированные курсы повышения квалификации окончены более пяти лет назад) и прохождение обучения на семинарах. Персонал заявителя по оценке пожарных рисков должен в пределах своих должностных инструкций знать и уметь выполнять утвержденное руководителем заявителя руководство по качеству;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3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и) сведения о наличии материально-технической базы.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1"/>
          <w:numId w:val="10"/>
        </w:numPr>
        <w:tabs>
          <w:tab w:val="left" w:pos="944"/>
        </w:tabs>
        <w:spacing w:after="0" w:line="264" w:lineRule="auto"/>
        <w:ind w:left="0" w:firstLine="384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Заявитель, претендующий на проведение оценки пожарных рисков, должен иметь в штатной численности не менее 3 специалистов, имеющих высшее техническое образование или среднее специальное образование и обладающих соответствующим (не менее 5 лет) стажем практической работы</w:t>
      </w:r>
    </w:p>
    <w:p w:rsidR="00000000" w:rsidDel="00000000" w:rsidP="00000000" w:rsidRDefault="00000000" w:rsidRPr="00000000" w14:paraId="000000A9">
      <w:pPr>
        <w:spacing w:after="0" w:line="14.399999999999999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0"/>
        </w:numPr>
        <w:tabs>
          <w:tab w:val="left" w:pos="240"/>
        </w:tabs>
        <w:spacing w:after="0" w:lineRule="auto"/>
        <w:ind w:left="240" w:hanging="24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области обеспечения пожарной безопасности.</w:t>
      </w:r>
    </w:p>
    <w:p w:rsidR="00000000" w:rsidDel="00000000" w:rsidP="00000000" w:rsidRDefault="00000000" w:rsidRPr="00000000" w14:paraId="000000AB">
      <w:pPr>
        <w:spacing w:after="0" w:line="29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1"/>
        </w:numPr>
        <w:tabs>
          <w:tab w:val="left" w:pos="480"/>
        </w:tabs>
        <w:spacing w:after="0" w:line="305" w:lineRule="auto"/>
        <w:ind w:left="0" w:right="1960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Оформление результатов расчетов оценки пожарного риска</w:t>
      </w:r>
    </w:p>
    <w:p w:rsidR="00000000" w:rsidDel="00000000" w:rsidP="00000000" w:rsidRDefault="00000000" w:rsidRPr="00000000" w14:paraId="000000AD">
      <w:pPr>
        <w:spacing w:after="0" w:line="200" w:lineRule="auto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52.00000000000003" w:lineRule="auto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1"/>
          <w:numId w:val="11"/>
        </w:numPr>
        <w:tabs>
          <w:tab w:val="left" w:pos="979"/>
        </w:tabs>
        <w:spacing w:after="0" w:line="261.99999999999994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Результаты расчетов оценки пожарного риска обосновываются и оформляются таким образом, чтобы выполненные расчеты и выводы могли быть проверены и повторены специалистами, которые не участвовали при первоначальной оценке.</w:t>
      </w:r>
    </w:p>
    <w:p w:rsidR="00000000" w:rsidDel="00000000" w:rsidP="00000000" w:rsidRDefault="00000000" w:rsidRPr="00000000" w14:paraId="000000B0">
      <w:pPr>
        <w:spacing w:after="0" w:line="214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1"/>
          <w:numId w:val="11"/>
        </w:numPr>
        <w:tabs>
          <w:tab w:val="left" w:pos="912"/>
        </w:tabs>
        <w:spacing w:after="0" w:line="289" w:lineRule="auto"/>
        <w:ind w:left="0" w:firstLine="384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Расчеты оценки пожарного риска следует документировать в форме отчета, в который включаются:</w:t>
      </w:r>
    </w:p>
    <w:p w:rsidR="00000000" w:rsidDel="00000000" w:rsidP="00000000" w:rsidRDefault="00000000" w:rsidRPr="00000000" w14:paraId="000000B2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а) титульный лист;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89" w:lineRule="auto"/>
        <w:ind w:right="20"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б) список исполнителей с указанием должностей, научных званий, названием организации;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89" w:lineRule="auto"/>
        <w:ind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в) сведения о подтверждении компетентности на проведение расчетов по оценке пожарного риска;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г) аннотация;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д) содержание (оглавление);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е) задачи и цели проведенных расчетов по оценке пожарного риска;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  <w:sectPr>
          <w:type w:val="nextPage"/>
          <w:pgSz w:h="16840" w:w="11900"/>
          <w:pgMar w:bottom="257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89" w:lineRule="auto"/>
        <w:ind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ж) наименование методики для проведения расчетов по оценке пожарного риска, кем и когда утверждена;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з) описание анализируемого объекта защиты;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89" w:lineRule="auto"/>
        <w:ind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и) описание последовательности проведения расчетов по оценке пожарного риска;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89" w:lineRule="auto"/>
        <w:ind w:right="20"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к) описание используемых методов расчета оценки пожарного риска, моделей пожароопасных ситуаций и обоснование их применения;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л) результаты расчетов оценки пожарного риска;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м) нормативные значения пожарного риска;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н) перечень исходных данных и используемых источников информации;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89" w:lineRule="auto"/>
        <w:ind w:right="20"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о) заключение о соответствии (несоответствии) объекта защиты нормативным значениям пожарного риска.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15"/>
        </w:numPr>
        <w:tabs>
          <w:tab w:val="left" w:pos="926"/>
        </w:tabs>
        <w:spacing w:after="0" w:line="289" w:lineRule="auto"/>
        <w:ind w:left="0" w:right="20" w:firstLine="384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Отчет по оценке пожарного риска представляется в установленном порядке в качестве составной части:</w:t>
      </w:r>
    </w:p>
    <w:p w:rsidR="00000000" w:rsidDel="00000000" w:rsidP="00000000" w:rsidRDefault="00000000" w:rsidRPr="00000000" w14:paraId="000000D0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а) декларации пожарной безопасности;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308.00000000000006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б ) специальных технических условий для зданий, сооружений и строений, для которых отсутствуют нормативные требования пожарной безопасности;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15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52.00000000000003" w:lineRule="auto"/>
        <w:ind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в) комплекса мероприятий по обеспечению пожарной безопасности объектов защиты , запроектированных и построенных в соответствии с ранее действовавшими до вступления в силу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Федерального закона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"Технический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регламент о требованиях пожарной безопасности"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требованиями пожарной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безопасности, если их дальнейшая эксплуатация приводит к угрозе жизни или здоровью людей вследствие возможного возникновения пожара*.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16"/>
        </w:numPr>
        <w:tabs>
          <w:tab w:val="left" w:pos="672"/>
        </w:tabs>
        <w:spacing w:after="0" w:line="255" w:lineRule="auto"/>
        <w:ind w:left="0" w:right="3000" w:firstLine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Порядок вступил в силу 27 ноября 2014 года. -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9"/>
          <w:szCs w:val="29"/>
          <w:rtl w:val="0"/>
        </w:rPr>
        <w:t xml:space="preserve">Ред.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Электронный текст документа подготовлен ЗАО "Кодекс" и сверен по:</w:t>
      </w:r>
    </w:p>
    <w:p w:rsidR="00000000" w:rsidDel="00000000" w:rsidP="00000000" w:rsidRDefault="00000000" w:rsidRPr="00000000" w14:paraId="000000D8">
      <w:pPr>
        <w:spacing w:after="0" w:line="22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57" w:lineRule="auto"/>
        <w:ind w:right="49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Официальные документы в образовании. Бюллетень нормативных правовых актов,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N 26, сентябрь 2015 года</w:t>
      </w:r>
      <w:r w:rsidDel="00000000" w:rsidR="00000000" w:rsidRPr="00000000">
        <w:rPr>
          <w:rtl w:val="0"/>
        </w:rPr>
      </w:r>
    </w:p>
    <w:sectPr>
      <w:type w:val="nextPage"/>
      <w:pgSz w:h="16840" w:w="11900"/>
      <w:pgMar w:bottom="1440" w:top="613" w:left="720" w:right="720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50"/>
      <w:numFmt w:val="decimal"/>
      <w:lvlText w:val="%1"/>
      <w:lvlJc w:val="left"/>
      <w:pPr>
        <w:ind w:left="0" w:firstLine="0"/>
      </w:pPr>
      <w:rPr/>
    </w:lvl>
    <w:lvl w:ilvl="1">
      <w:start w:val="13"/>
      <w:numFmt w:val="decimal"/>
      <w:lvlText w:val="%2.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7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upperLetter"/>
      <w:lvlText w:val="%1"/>
      <w:lvlJc w:val="left"/>
      <w:pPr>
        <w:ind w:left="0" w:firstLine="0"/>
      </w:pPr>
      <w:rPr/>
    </w:lvl>
    <w:lvl w:ilvl="1">
      <w:start w:val="23"/>
      <w:numFmt w:val="decimal"/>
      <w:lvlText w:val="%2.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8"/>
      <w:numFmt w:val="decimal"/>
      <w:lvlText w:val="%2.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35"/>
      <w:numFmt w:val="upperLetter"/>
      <w:lvlText w:val="%1."/>
      <w:lvlJc w:val="left"/>
      <w:pPr>
        <w:ind w:left="0" w:firstLine="0"/>
      </w:pPr>
      <w:rPr/>
    </w:lvl>
    <w:lvl w:ilvl="1">
      <w:start w:val="25"/>
      <w:numFmt w:val="decimal"/>
      <w:lvlText w:val="%2.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21"/>
      <w:numFmt w:val="decimal"/>
      <w:lvlText w:val="%2.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26"/>
      <w:numFmt w:val="decimal"/>
      <w:lvlText w:val="%2.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61"/>
      <w:numFmt w:val="upperLetter"/>
      <w:lvlText w:val="%1."/>
      <w:lvlJc w:val="left"/>
      <w:pPr>
        <w:ind w:left="0" w:firstLine="0"/>
      </w:pPr>
      <w:rPr/>
    </w:lvl>
    <w:lvl w:ilvl="1">
      <w:start w:val="27"/>
      <w:numFmt w:val="decimal"/>
      <w:lvlText w:val="%2.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0" w:firstLine="0"/>
      </w:pPr>
      <w:rPr/>
    </w:lvl>
    <w:lvl w:ilvl="2">
      <w:start w:val="1"/>
      <w:numFmt w:val="bullet"/>
      <w:lvlText w:val="К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4"/>
      <w:numFmt w:val="decimal"/>
      <w:lvlText w:val="%2."/>
      <w:lvlJc w:val="left"/>
      <w:pPr>
        <w:ind w:left="0" w:firstLine="0"/>
      </w:pPr>
      <w:rPr/>
    </w:lvl>
    <w:lvl w:ilvl="2">
      <w:start w:val="1"/>
      <w:numFmt w:val="bullet"/>
      <w:lvlText w:val="К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5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29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*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