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Генератор огнетушащего аэрозоля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ГОА-II-0,020-080-003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ТУ 4854-008-69229785-2011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«Допинг 2.02»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«Допинг 2.02T»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ПАСПОРТ И РУКОВОДСТВО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 ЭКСПЛУАТАЦИИ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ЭПИН. 030020.000 ПС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Санкт-Петербург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НАЗНАЧЕНИЕ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1.1. Генератор огнетушащего аэрозоля «Допинг 2.02» / «Допинг 2.02т» (в дальнейшем «генератор») с радиальным истечением аэрозоля предназначен для тушения в условно-герметичных объемах пожаров и загораний по ГОСТ 27331-87 следующих классов: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подкласс А2 - горение твердых веществ, не сопровождаемое тлением;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класс В - горение жидких веществ;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класс Е - пожары, возникающие в помещениях с кабелями, электроустановками и электрооборудованием, находящимся под напряжением до 140 кВ;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а также для локализации пожаров подкласса А1.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1.2. Генератор имеет климатическое исполнение В изделий категорий 1; 1.1; 2; 2.1; 3 по ГОСТ 15150-69. Рабочее значение температуры эксплуатации от -50С до +95С (допускается в течение суток повышение на 8 часов температуры до +125С). Группа механического исполнения по ГОСТ 17516.1-90 – М 25; М 30.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Преимущественная область применения - моторные и багажные отделения транспортных средств (автомобильных, железнодорожных, водных и др.), электрические шкафы, сейфы, хранилища материальных ценностей и т.п.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1.3. Аэрозоль, образующийся в результате сгорания шашки состава "КЭП" при срабатывании генератора, не содержит озоноразрушаюших веществ.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1.4.Генераторы выпускаются в двух вариантах: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«Допинг 2.02»- с электрическим и термозапуском,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«Допинг 2.02Т» - только с термозапуском.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 ТЕХНИЧЕСКИЕ ХАРАКТЕРИСТИКИ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Наименование показателя, единица измерения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Значение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Наименование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Допинг 2.02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Допинг 2.02т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1. Масса АОС (аэрозолеобразующего состава) "КЭП", кг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0,020±0,002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 Огнетушащая способность генератора, кг/м3 ,не более: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для модельных очагов класса В;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для модельных очагов класса А2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0,08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0,06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 Максимальный объем условно герметичного помещения, в котором ГОА обеспечивает тушение модельных очагов пожара класса В, м3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0,2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4. Инерционность (время срабатывания) генератора, с, не более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1,0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5 .Время (продолжительность) подачи огнетушащего аэрозоля (работы генератора) в пределах температур эксплуатации, с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3,0±0,3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6.Огнетушащая интенсивность подачи аэрозоля,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кг/(м3 ·с):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для модельных очагов класса В;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для модельных очагов класса А2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0,027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0,02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7. Габаритные размеры, мм, не более: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высота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диаметр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38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66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8. Масса генератора, кг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0,145±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0,014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0,135±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0,013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9. Количество тепла, выделяющееся при работе ГОА, кДж, не более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2,8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10. Расстояние по длине газоаэрозольной струи, соответствующее температурам, м, не более: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400 С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200 С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75 С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отсутствует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0,01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0,04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11. Параметры запуска: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электрического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значение пускового тока, А, не менее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сопротивление электроцепи запуска,Ом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длительность импульса, мс, не менее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напряжение запуска,В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ток гарантированного несрабатывания (безопасный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ток контроля электрической цепи), А, не более;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тепловым воздействием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от термошнура, температура срабатывания, ºС,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не менее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0,7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1,5±0,3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5÷30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0,2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электро-запуск отсутствует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3. КОМПЛЕКТ ПОСТАВКИ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3.1. В комплект поставки ГОА «Допинг 2.02» (рис.1) входит: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изделие ГОА «Допинг 2.02» в сборе…………………………… 1 шт.;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 паспорт и руководство по эксплуатации……………………….. 1 шт.;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- втулка распорная………………………….……………………….. 3 шт.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819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Рис.1. Генератор огнетушащего аэрозоля «Допинг 2.02»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3.2. В комплект поставки ГОА «Допинг 2.02т» (рис.2) входит: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- изделие ГОА «Допинг 2.02т» в сборе…………………………… 1 шт.;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- паспорт и руководство по эксплуатации……………………….... 1 шт.;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- втулка распорная………………………….…………………………. 3 шт.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302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0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Рис.2. Генератор огнетушащего аэрозоля «Допинг 2.02т»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4. РАЗМЕЩЕНИЕ НА ОБЪЕКТЕ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4.1. Генератор размещается непосредственно на защищаемом объекте (в помещении, на транспортном средстве и т.д.) и монтируется на горизонтальной или вертикальной части конструкции объекта. Монтаж генератора производится с помощью трех саморезов или винтов с гайками и шайбами (в комплект не входят). При выборе расстояния между генератором и объектом тушения необходимо учитывать длины зон с повышенной температурой п. 10 раздела 2, но оно не должно превышать, по возможности, 0,7 м. Для монтажа сверлятся 3 отверстия диаметром 6 мм под пластмассовый дюбель 6 мм на глубину 30 мм или 3 отверстия Ø 3,5 мм для крепления винтами в соответствии с толщиной места крепления и размерами, указанными на рис.1 и рис.2 (Метизы в комплект не входят). Для предохранения корпуса от деформации при монтаже используются распорные втулки, входящие в комплект поставки.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4.2. Размещение генератора производить с учетом зон пожароопасности, которые составляют: - для горючих жидкостей и твердых материалов – не менее 50 мм от среза выпускного отверстия генератора, и не менее 5 мм от корпуса генератора.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4.3. При проектировании электрических линий запуска генератора следует предусмотреть меры, исключающие возникновение токов наводок, которые могут привести к несанкционированному запуску генератора.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5. УСТРОЙСТВО И ПРИНЦИП ДЕЙСТВИЯ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5.1. Устройство генератора (рис.1)/ (рис.2).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5.1.1. Генератор состоит из металлического корпуса 1, в виде цилиндра с отбортовкой, с этикеткой 5 вокруг цилиндра и наклейкой 3 на торцевой части цилиндра (ВНИМАНИЕ – наклейки не снимать!), а с другой стороны закрыт крышкой 8 с помощью трех заклепок. Между корпусом 1 и крышкой 8 имеется пространство (щель) для выхода аэрозоля. Внутри корпуса размещается заряд аэрозолеобразующего состава (АОС) 2 и охладитель 4.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5.1.2. Перед подключением генератора необходимо проверить отсутствие напряжения в сети подключения.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5.1.3. Генератор в рабочем положении крепится к вертикальной или горизонтальной поверхности внутри защищаемого объекта при помощи метизов (см. п 4.1).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5.1.4. При горении заряда АОС образующиеся газодисперсные продукты проходят через слой охладителя, истекают через щель вокруг генератора между отбортовкой цилиндра корпуса 1 и крышкой в защищаемый объем и ингибируют горение внутри него.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5.2. Принцип работы генератора: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5.2.1. «Допинг 2.02»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От электровоспламенителя: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- Генератор срабатывает при подаче напряжения на электровоспламенитель 9;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- Электровоспламенитель 9 при срабатывании инициирует горение заряда АОС.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От термовоспламенителя: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- Генератор срабатывает при достижении температуры термошнура свыше 170 ºС;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- Термошнур при возгорании инициирует горение заряда АОС.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5.2.2. «Допинг 2.02т»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От термовоспламенителя: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- Генератор срабатывает при достижении температуры термошнура свыше 170 ºС;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- Термошнур при возгорании инициирует горение заряда АОС.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6. МЕРЫ БЕЗОПАСНОСТИ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6.1. Лица, допущенные к работе с генераторами, должны изучить содержание настоящего руководства, инструктивные надписи, нанесенные на корпусе (этикетке), и соблюдать их требования.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6.2. При запуске генератора обеспечить гарантированное отсутствие людей в высокотемпературной (более 75С) зоне действия струи аэрозоля.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6.3. Огнетушащий аэрозоль является малотоксичным продуктом, который в пожаротушащей концентрации классифицируется как малоопасный с умеренно выраженным местно-раздражающим действием.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6.4. При срабатывании ГОА лица, присутствующие в помещении, должны покинуть его. Повторный заход в помещение разрешается только после его проветривания.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6.5. При необходимости проведения неотложных работ в период вентилирования пользоваться средствами индивидуальной защиты органов дыхания.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6.6. Количество и состав основных продуктов сгорания состава "КЭП", образующихся при работе ГОА: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6.6.1. Газовая фаза в % по объему - (всего 45.8% от массы аэрозолеобразующего состава): - Н2 – 0,264; - СО2 – 15,95; - Н2О – 36,09; - СН4 – 5,22; - N2 - 42,46; - СО – 0,00049.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6.6.2. Твердые вещества в % по массе - (всего 54.2% от массы аэрозолеобразующего состава):- Fe3O4 – 0,10; - К2СО3 – 48,11; - С – 5,98.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6.7. Твердые частицы огнетушащего аэрозоля, осевшие на открытых поверхностях после срабатывания генератора, убираются в кратчайшие сроки с помощью пылесоса, щетки, влажной тряпки или смываются водой. При уборке применять средства защиты органов дыхания (респиратор, марлевую повязку). В случае попадания частиц в глаза, необходимо сразу же промыть их большим количеством воды.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6.8. Не допускается: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размещать генераторы вблизи нагревательных приборов (в зоне нагрева более 100ºС);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подключать генератор к электрической цепи системы запуска до его штатного монтажа на объекте;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выполнять любые виды работ при подключѐнном генераторе к электрической цепи запуска;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производить сварочные работы, курить и пользоваться открытым огнем на расстоянии ближе 2,5 метров от генераторов.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7. ТЕХНИЧЕСКОЕ ОБСЛУЖИВАНИЕ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7.1. Один раз в месяц каждый генератор, находящийся в дежурном режиме, подлежит внешнему осмотру. Контролируется отсутствие видимых внешних нарушений (комплектность, надежность крепления), изменений, механических повреждений, отсутствие обрывов и внешних повреждений цепи электровоспламенителя.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7.2. Генераторы, имеющие повреждения подлежат проверке на предприятии- изготовителе.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7.3. Проверить целостность цепи с помощью пульта системы противопожарной автоматики или специального прибора.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Внимание! Ток проверки должен быть не более 0,2 А.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8. ХРАНЕНИЕ И ТРАНСПОРТИРОВАНИЕ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8.1. Условия хранения генераторов должны соответствовать климатическому исполнению В изделий категорий 1; 1.1; 2; 2.1; 3 по ГОСТ 15150 - 69 в температурном диапазоне от -50С до +95С.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8.2. Генераторы не имеют избыточного давления и в упакованном виде могут транспортироваться всеми видами транспорта без ограничения расстояния и температурных параметров в соответствии с требованиями, предъявляемым к перевозке обычных грузов на соответствующем виде транспорта.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9. ГАРАНТИЙНЫЕ ОБЯЗАТЕЛЬСТВА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9.1. Предприятие-изготовитель гарантирует соответствие генератора требованиям технических условий ТУ 4854-008-69229785-2011 при соблюдении потребителем условий транспортирования, хранения и эксплуатации.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9.2. Гарантийный срок хранения генератора в заводской упаковке – 1 год с даты выпуска.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9.3. Гарантийный срок эксплуатации генератора – 2 года с даты продажи.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9.4. Срок службы генератора – 10 лет с даты продажи.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10. ИЗМЕНЕНИЯ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В связи с постоянным совершенствованием генераторов аэрозоля производитель оставляет за собой право вносить в конструкцию изменения, не описанные в данном паспорте, которые не снижают потребительских качеств изделия.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11. СВИДЕТЕЛЬСТВО О ПРИЁМКЕ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Генератор огнетушащего аэрозоля «Допинг 2.02» / «Допинг 2.02т»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партия № , соответствует техническим условиям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ТУ 4854-008-69229785-2011 и признан годным для эксплуатации.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Дата выпуска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Подпись _______________ Штамп ГТК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12. ОТМЕТКА ТОРГОВОЙ ОРГАНИЗАЦИИ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Дата продажи «_____» _________________ 20__ г.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Наименование торговой организации ___________________________________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Подпись _______________ Печать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Предприятие-изготовитель: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ООО "Системы Пожаротушения"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196641, г.Санкт-Петербург, ул. Дорога на Металлострой, д.9, лит.Б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Тел.(812) 676-70-44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www.epotos-sp.ru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spt@epotos.ru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По эксклюзивному договору для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ООО «Техно»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ООО «НПП«ЭПОТОС»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127566, г.Москва, Алтуфьевское шоссе, д.44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Тел.(495) 916-61-16 многоканальный,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Тел.(495) 788-54-14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Факс (495) 788-39-41.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www.epotos.ru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info@epotos.ru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7883941@mail.ru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