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80" w:before="160" w:lineRule="auto"/>
        <w:jc w:val="center"/>
        <w:rPr>
          <w:color w:val="2d2d2d"/>
          <w:sz w:val="21"/>
          <w:szCs w:val="21"/>
        </w:rPr>
      </w:pPr>
      <w:r w:rsidDel="00000000" w:rsidR="00000000" w:rsidRPr="00000000">
        <w:rPr>
          <w:color w:val="3c3c3c"/>
          <w:sz w:val="41"/>
          <w:szCs w:val="41"/>
          <w:rtl w:val="0"/>
        </w:rPr>
        <w:t xml:space="preserve">Таблица 1. Нормы обеспечения огнетушителями зданий (кроме АЗС, ж/д составов)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421.54213036566"/>
        <w:gridCol w:w="1483.4658187599366"/>
        <w:gridCol w:w="4124.9920508744035"/>
        <w:tblGridChange w:id="0">
          <w:tblGrid>
            <w:gridCol w:w="3421.54213036566"/>
            <w:gridCol w:w="1483.4658187599366"/>
            <w:gridCol w:w="4124.9920508744035"/>
          </w:tblGrid>
        </w:tblGridChange>
      </w:tblGrid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Категория помещения</w:t>
            </w:r>
          </w:p>
          <w:p w:rsidR="00000000" w:rsidDel="00000000" w:rsidP="00000000" w:rsidRDefault="00000000" w:rsidRPr="00000000" w14:paraId="00000006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по пожарной и взрывопожарной опасности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Класс пожара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Огнетушители с рангом тушения модельного очага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А, Б, В1-В4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4А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144В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4А, 144В, С или 144В, С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4А, 144В, С, Е или 144В, С, Е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Г, 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2А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55В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2А, 55В, С или 55В, С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2А, 55В, С, Е или 55В, С, Е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Общественные здания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2А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55В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2А, 55В, С или 55В, С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2А, 55В, С, Е или 55В, С, Е</w:t>
            </w:r>
          </w:p>
        </w:tc>
      </w:tr>
    </w:tbl>
    <w:p w:rsidR="00000000" w:rsidDel="00000000" w:rsidP="00000000" w:rsidRDefault="00000000" w:rsidRPr="00000000" w14:paraId="00000033">
      <w:pPr>
        <w:shd w:fill="ffffff" w:val="clear"/>
        <w:spacing w:before="240" w:line="343.6363636363637" w:lineRule="auto"/>
        <w:rPr>
          <w:color w:val="2d2d2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before="240" w:line="343.6363636363637" w:lineRule="auto"/>
        <w:rPr>
          <w:color w:val="2d2d2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before="240" w:line="343.6363636363637" w:lineRule="auto"/>
        <w:rPr>
          <w:i w:val="1"/>
          <w:color w:val="2d2d2d"/>
          <w:sz w:val="20"/>
          <w:szCs w:val="20"/>
        </w:rPr>
      </w:pPr>
      <w:r w:rsidDel="00000000" w:rsidR="00000000" w:rsidRPr="00000000">
        <w:rPr>
          <w:i w:val="1"/>
          <w:color w:val="2d2d2d"/>
          <w:sz w:val="20"/>
          <w:szCs w:val="20"/>
          <w:rtl w:val="0"/>
        </w:rPr>
        <w:t xml:space="preserve">Примечания: 1.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</w:p>
    <w:p w:rsidR="00000000" w:rsidDel="00000000" w:rsidP="00000000" w:rsidRDefault="00000000" w:rsidRPr="00000000" w14:paraId="00000036">
      <w:pPr>
        <w:shd w:fill="ffffff" w:val="clear"/>
        <w:spacing w:before="240" w:line="343.6363636363637" w:lineRule="auto"/>
        <w:rPr>
          <w:i w:val="1"/>
          <w:color w:val="2d2d2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before="240" w:line="343.6363636363637" w:lineRule="auto"/>
        <w:rPr>
          <w:color w:val="3c3c3c"/>
          <w:sz w:val="41"/>
          <w:szCs w:val="41"/>
        </w:rPr>
      </w:pPr>
      <w:r w:rsidDel="00000000" w:rsidR="00000000" w:rsidRPr="00000000">
        <w:rPr>
          <w:i w:val="1"/>
          <w:color w:val="2d2d2d"/>
          <w:sz w:val="20"/>
          <w:szCs w:val="20"/>
          <w:rtl w:val="0"/>
        </w:rPr>
        <w:t xml:space="preserve">2. Допускается использовать иные средства пожаротушения, обеспечивающие тушение соответствующего класса пожара и ранг тушения модельного очага пожара, в том числе генераторы огнетушащего аэрозоля переносные.</w:t>
      </w:r>
      <w:r w:rsidDel="00000000" w:rsidR="00000000" w:rsidRPr="00000000">
        <w:rPr>
          <w:color w:val="3c3c3c"/>
          <w:sz w:val="41"/>
          <w:szCs w:val="41"/>
          <w:rtl w:val="0"/>
        </w:rPr>
        <w:t xml:space="preserve">     </w:t>
      </w:r>
    </w:p>
    <w:p w:rsidR="00000000" w:rsidDel="00000000" w:rsidP="00000000" w:rsidRDefault="00000000" w:rsidRPr="00000000" w14:paraId="00000038">
      <w:pPr>
        <w:shd w:fill="ffffff" w:val="clear"/>
        <w:spacing w:before="240" w:lineRule="auto"/>
        <w:jc w:val="center"/>
        <w:rPr>
          <w:color w:val="2d2d2d"/>
          <w:sz w:val="21"/>
          <w:szCs w:val="21"/>
        </w:rPr>
      </w:pPr>
      <w:r w:rsidDel="00000000" w:rsidR="00000000" w:rsidRPr="00000000">
        <w:rPr>
          <w:color w:val="3c3c3c"/>
          <w:sz w:val="41"/>
          <w:szCs w:val="41"/>
          <w:rtl w:val="0"/>
        </w:rPr>
        <w:t xml:space="preserve">Таблица 2. Нормы оснащения помещений передвижными огнетушителями</w:t>
      </w:r>
      <w:r w:rsidDel="00000000" w:rsidR="00000000" w:rsidRPr="00000000">
        <w:rPr>
          <w:rtl w:val="0"/>
        </w:rPr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66.450441100156"/>
        <w:gridCol w:w="1944.7067981318114"/>
        <w:gridCol w:w="1382.381940840685"/>
        <w:gridCol w:w="3336.460819927348"/>
        <w:tblGridChange w:id="0">
          <w:tblGrid>
            <w:gridCol w:w="2366.450441100156"/>
            <w:gridCol w:w="1944.7067981318114"/>
            <w:gridCol w:w="1382.381940840685"/>
            <w:gridCol w:w="3336.460819927348"/>
          </w:tblGrid>
        </w:tblGridChange>
      </w:tblGrid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Категория</w:t>
            </w:r>
          </w:p>
          <w:p w:rsidR="00000000" w:rsidDel="00000000" w:rsidP="00000000" w:rsidRDefault="00000000" w:rsidRPr="00000000" w14:paraId="0000003E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помещения по пожарной и взрывопожарной</w:t>
            </w:r>
          </w:p>
          <w:p w:rsidR="00000000" w:rsidDel="00000000" w:rsidP="00000000" w:rsidRDefault="00000000" w:rsidRPr="00000000" w14:paraId="0000003F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опасности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Предельная защищаемая</w:t>
            </w:r>
          </w:p>
          <w:p w:rsidR="00000000" w:rsidDel="00000000" w:rsidP="00000000" w:rsidRDefault="00000000" w:rsidRPr="00000000" w14:paraId="00000041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площадь</w:t>
            </w:r>
          </w:p>
          <w:p w:rsidR="00000000" w:rsidDel="00000000" w:rsidP="00000000" w:rsidRDefault="00000000" w:rsidRPr="00000000" w14:paraId="00000042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(кв. метров)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Класс пожара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Огнетушители с рангом тушения</w:t>
            </w:r>
          </w:p>
          <w:p w:rsidR="00000000" w:rsidDel="00000000" w:rsidP="00000000" w:rsidRDefault="00000000" w:rsidRPr="00000000" w14:paraId="00000045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модельного очага (штук)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А, Б, В1-В4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2-6А или 1-10А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2-144В или 1-233В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2-6А, 144В, С или 1-10А, 233В, С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D</w:t>
            </w:r>
          </w:p>
        </w:tc>
      </w:tr>
      <w:tr>
        <w:trPr>
          <w:trHeight w:val="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2-6А, 144В, С, Е или 1-10А, 233В, С, Е</w:t>
            </w:r>
          </w:p>
        </w:tc>
      </w:tr>
      <w:tr>
        <w:trPr>
          <w:trHeight w:val="5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Г, 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2-6А или 1-10А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2-144В или 1-233В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2-6А, 144В, С или 1-10А, 233В, С или 2-144В,</w:t>
            </w:r>
          </w:p>
          <w:p w:rsidR="00000000" w:rsidDel="00000000" w:rsidP="00000000" w:rsidRDefault="00000000" w:rsidRPr="00000000" w14:paraId="00000066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С или 1-233В, С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D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2-6А, 144В, С, Е или 1-10А, 233В, С, Е</w:t>
            </w:r>
          </w:p>
          <w:p w:rsidR="00000000" w:rsidDel="00000000" w:rsidP="00000000" w:rsidRDefault="00000000" w:rsidRPr="00000000" w14:paraId="0000006F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или 2-144В, С, Е или 1-233В, С, Е</w:t>
            </w:r>
          </w:p>
        </w:tc>
      </w:tr>
    </w:tbl>
    <w:p w:rsidR="00000000" w:rsidDel="00000000" w:rsidP="00000000" w:rsidRDefault="00000000" w:rsidRPr="00000000" w14:paraId="00000070">
      <w:pPr>
        <w:shd w:fill="ffffff" w:val="clear"/>
        <w:spacing w:before="240" w:line="343.6363636363637" w:lineRule="auto"/>
        <w:rPr>
          <w:color w:val="2d2d2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before="240" w:line="343.6363636363637" w:lineRule="auto"/>
        <w:rPr>
          <w:i w:val="1"/>
          <w:color w:val="2d2d2d"/>
          <w:sz w:val="20"/>
          <w:szCs w:val="20"/>
        </w:rPr>
      </w:pPr>
      <w:r w:rsidDel="00000000" w:rsidR="00000000" w:rsidRPr="00000000">
        <w:rPr>
          <w:i w:val="1"/>
          <w:color w:val="2d2d2d"/>
          <w:sz w:val="20"/>
          <w:szCs w:val="20"/>
          <w:rtl w:val="0"/>
        </w:rPr>
        <w:t xml:space="preserve">Примечания: 1. В помещениях, в которых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</w:t>
      </w:r>
    </w:p>
    <w:p w:rsidR="00000000" w:rsidDel="00000000" w:rsidP="00000000" w:rsidRDefault="00000000" w:rsidRPr="00000000" w14:paraId="00000072">
      <w:pPr>
        <w:shd w:fill="ffffff" w:val="clear"/>
        <w:spacing w:before="240" w:line="343.6363636363637" w:lineRule="auto"/>
        <w:rPr>
          <w:i w:val="1"/>
          <w:color w:val="2d2d2d"/>
          <w:sz w:val="20"/>
          <w:szCs w:val="20"/>
        </w:rPr>
      </w:pPr>
      <w:r w:rsidDel="00000000" w:rsidR="00000000" w:rsidRPr="00000000">
        <w:rPr>
          <w:i w:val="1"/>
          <w:color w:val="2d2d2d"/>
          <w:sz w:val="20"/>
          <w:szCs w:val="20"/>
          <w:rtl w:val="0"/>
        </w:rPr>
        <w:t xml:space="preserve">2. Допускается использовать иные средства пожаротушения, обеспечивающие тушение соответствующего класса пожара и ранг тушения модельного очага пожара, в том числе генераторы огнетушащего аэрозоля переносные.</w:t>
      </w:r>
    </w:p>
    <w:p w:rsidR="00000000" w:rsidDel="00000000" w:rsidP="00000000" w:rsidRDefault="00000000" w:rsidRPr="00000000" w14:paraId="00000073">
      <w:pPr>
        <w:shd w:fill="ffffff" w:val="clear"/>
        <w:spacing w:before="240" w:line="343.6363636363637" w:lineRule="auto"/>
        <w:jc w:val="center"/>
        <w:rPr>
          <w:color w:val="3c3c3c"/>
          <w:sz w:val="41"/>
          <w:szCs w:val="41"/>
        </w:rPr>
      </w:pPr>
      <w:r w:rsidDel="00000000" w:rsidR="00000000" w:rsidRPr="00000000">
        <w:rPr>
          <w:i w:val="1"/>
          <w:color w:val="2d2d2d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color w:val="3c3c3c"/>
          <w:sz w:val="41"/>
          <w:szCs w:val="41"/>
          <w:rtl w:val="0"/>
        </w:rPr>
        <w:t xml:space="preserve">Таблица 3. Нормы обеспечения огнетушителями железнодорожного подвижного состава</w:t>
      </w:r>
    </w:p>
    <w:tbl>
      <w:tblPr>
        <w:tblStyle w:val="Table3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08.617489008305"/>
        <w:gridCol w:w="1566.0234489496825"/>
        <w:gridCol w:w="1248.4074255007329"/>
        <w:gridCol w:w="189.6873473375672"/>
        <w:gridCol w:w="295.55935515388376"/>
        <w:gridCol w:w="1949.80947728383"/>
        <w:gridCol w:w="1671.8954567659991"/>
        <w:tblGridChange w:id="0">
          <w:tblGrid>
            <w:gridCol w:w="2108.617489008305"/>
            <w:gridCol w:w="1566.0234489496825"/>
            <w:gridCol w:w="1248.4074255007329"/>
            <w:gridCol w:w="189.6873473375672"/>
            <w:gridCol w:w="295.55935515388376"/>
            <w:gridCol w:w="1949.80947728383"/>
            <w:gridCol w:w="1671.8954567659991"/>
          </w:tblGrid>
        </w:tblGridChange>
      </w:tblGrid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Наименование объекта защиты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Измеритель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Класс пожара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Огнетушители с рангом тушения модельного очага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Количество</w:t>
            </w:r>
          </w:p>
          <w:p w:rsidR="00000000" w:rsidDel="00000000" w:rsidP="00000000" w:rsidRDefault="00000000" w:rsidRPr="00000000" w14:paraId="00000082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(не менее,</w:t>
            </w:r>
          </w:p>
          <w:p w:rsidR="00000000" w:rsidDel="00000000" w:rsidP="00000000" w:rsidRDefault="00000000" w:rsidRPr="00000000" w14:paraId="00000083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d2d2d"/>
                <w:sz w:val="21"/>
                <w:szCs w:val="21"/>
                <w:rtl w:val="0"/>
              </w:rPr>
              <w:t xml:space="preserve">штук)</w:t>
            </w:r>
          </w:p>
        </w:tc>
      </w:tr>
      <w:tr>
        <w:trPr>
          <w:trHeight w:val="10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Электровозы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секция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A,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2A, 55B, C, E</w:t>
            </w:r>
          </w:p>
          <w:p w:rsidR="00000000" w:rsidDel="00000000" w:rsidP="00000000" w:rsidRDefault="00000000" w:rsidRPr="00000000" w14:paraId="0000008A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или 55B,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Тепловозы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секция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A, B,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2A, 55B, C, E</w:t>
            </w:r>
          </w:p>
          <w:p w:rsidR="00000000" w:rsidDel="00000000" w:rsidP="00000000" w:rsidRDefault="00000000" w:rsidRPr="00000000" w14:paraId="00000092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или 55B,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Газотурбовозы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секция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A, B, C,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2A, 55B, C, E</w:t>
            </w:r>
          </w:p>
          <w:p w:rsidR="00000000" w:rsidDel="00000000" w:rsidP="00000000" w:rsidRDefault="00000000" w:rsidRPr="00000000" w14:paraId="0000009A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или 55B, C,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</w:t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Электропоезда, дизель-поезда, дизель-электропоезда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9- и 12-вагонные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поезд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A, B,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2A, 55B, C, E</w:t>
            </w:r>
          </w:p>
          <w:p w:rsidR="00000000" w:rsidDel="00000000" w:rsidP="00000000" w:rsidRDefault="00000000" w:rsidRPr="00000000" w14:paraId="000000A9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или 55B,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6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4- и 8-вагонные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поезд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A, B,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2A, 55B, C, E</w:t>
            </w:r>
          </w:p>
          <w:p w:rsidR="00000000" w:rsidDel="00000000" w:rsidP="00000000" w:rsidRDefault="00000000" w:rsidRPr="00000000" w14:paraId="000000B1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или 55B,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4</w:t>
            </w:r>
          </w:p>
        </w:tc>
      </w:tr>
      <w:tr>
        <w:trPr>
          <w:trHeight w:val="15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Рельсовые</w:t>
            </w:r>
          </w:p>
          <w:p w:rsidR="00000000" w:rsidDel="00000000" w:rsidP="00000000" w:rsidRDefault="00000000" w:rsidRPr="00000000" w14:paraId="000000B4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автобусы,</w:t>
            </w:r>
          </w:p>
          <w:p w:rsidR="00000000" w:rsidDel="00000000" w:rsidP="00000000" w:rsidRDefault="00000000" w:rsidRPr="00000000" w14:paraId="000000B5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автомотрисы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1- и 2-вагонные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поезд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A, B,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2A, 55B, C, E</w:t>
            </w:r>
          </w:p>
          <w:p w:rsidR="00000000" w:rsidDel="00000000" w:rsidP="00000000" w:rsidRDefault="00000000" w:rsidRPr="00000000" w14:paraId="000000C2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или 55B,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2- и 4-вагонные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поезд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A, B,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2A, 55B, C, E</w:t>
            </w:r>
          </w:p>
          <w:p w:rsidR="00000000" w:rsidDel="00000000" w:rsidP="00000000" w:rsidRDefault="00000000" w:rsidRPr="00000000" w14:paraId="000000CA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или 55B,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4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Рефрижераторные секции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секция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A, B,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2A, 55B, C, E</w:t>
            </w:r>
          </w:p>
          <w:p w:rsidR="00000000" w:rsidDel="00000000" w:rsidP="00000000" w:rsidRDefault="00000000" w:rsidRPr="00000000" w14:paraId="000000D2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или 55B,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</w:t>
            </w:r>
          </w:p>
        </w:tc>
      </w:tr>
      <w:tr>
        <w:trPr>
          <w:trHeight w:val="515" w:hRule="atLeast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Пассажирские вагоны</w:t>
            </w:r>
          </w:p>
        </w:tc>
      </w:tr>
      <w:tr>
        <w:trPr>
          <w:trHeight w:val="13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Вагоны, предназначенные</w:t>
            </w:r>
          </w:p>
          <w:p w:rsidR="00000000" w:rsidDel="00000000" w:rsidP="00000000" w:rsidRDefault="00000000" w:rsidRPr="00000000" w14:paraId="000000DC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для перевозки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вагон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A, 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2A, 55B, C, E</w:t>
            </w:r>
          </w:p>
          <w:p w:rsidR="00000000" w:rsidDel="00000000" w:rsidP="00000000" w:rsidRDefault="00000000" w:rsidRPr="00000000" w14:paraId="000000E2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или 55B, C,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1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пассажиров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34B, C,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Багажные, почтовые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вагон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A, B, 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2A, 55B, C, E</w:t>
            </w:r>
          </w:p>
          <w:p w:rsidR="00000000" w:rsidDel="00000000" w:rsidP="00000000" w:rsidRDefault="00000000" w:rsidRPr="00000000" w14:paraId="000000F1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или 55B, C,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34B, C,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1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Вагоны-рестораны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вагон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A, B, 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2A, 55B, C, E</w:t>
            </w:r>
          </w:p>
          <w:p w:rsidR="00000000" w:rsidDel="00000000" w:rsidP="00000000" w:rsidRDefault="00000000" w:rsidRPr="00000000" w14:paraId="00000100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или 55B, C,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34B, C,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</w:t>
            </w:r>
          </w:p>
        </w:tc>
      </w:tr>
      <w:tr>
        <w:trPr>
          <w:trHeight w:val="18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Двухэтажные вагоны,</w:t>
            </w:r>
          </w:p>
          <w:p w:rsidR="00000000" w:rsidDel="00000000" w:rsidP="00000000" w:rsidRDefault="00000000" w:rsidRPr="00000000" w14:paraId="0000010A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предназначенные</w:t>
            </w:r>
          </w:p>
          <w:p w:rsidR="00000000" w:rsidDel="00000000" w:rsidP="00000000" w:rsidRDefault="00000000" w:rsidRPr="00000000" w14:paraId="0000010B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для перевозки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вагон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A, B, 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2A, 55B, C, E</w:t>
            </w:r>
          </w:p>
          <w:p w:rsidR="00000000" w:rsidDel="00000000" w:rsidP="00000000" w:rsidRDefault="00000000" w:rsidRPr="00000000" w14:paraId="00000111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или 55B, C,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пассажиров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34B, C,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Двухэтажные вагоны-рестораны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вагон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A, B, 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2A, 55B, C, E</w:t>
            </w:r>
          </w:p>
          <w:p w:rsidR="00000000" w:rsidDel="00000000" w:rsidP="00000000" w:rsidRDefault="00000000" w:rsidRPr="00000000" w14:paraId="00000120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или 55B, C,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34B, C,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3</w:t>
            </w:r>
          </w:p>
        </w:tc>
      </w:tr>
      <w:tr>
        <w:trPr>
          <w:trHeight w:val="1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Вагоны служебно-</w:t>
            </w:r>
          </w:p>
          <w:p w:rsidR="00000000" w:rsidDel="00000000" w:rsidP="00000000" w:rsidRDefault="00000000" w:rsidRPr="00000000" w14:paraId="0000012A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технические, служебные,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вагон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A, B, 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2A, 55B, C, E</w:t>
            </w:r>
          </w:p>
          <w:p w:rsidR="00000000" w:rsidDel="00000000" w:rsidP="00000000" w:rsidRDefault="00000000" w:rsidRPr="00000000" w14:paraId="00000130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или 55B, C,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испытательные и измерительные лаборатории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34B, C,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1</w:t>
            </w:r>
          </w:p>
        </w:tc>
      </w:tr>
      <w:tr>
        <w:trPr>
          <w:trHeight w:val="10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Специальные вагоны</w:t>
            </w:r>
          </w:p>
          <w:p w:rsidR="00000000" w:rsidDel="00000000" w:rsidP="00000000" w:rsidRDefault="00000000" w:rsidRPr="00000000" w14:paraId="0000013A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пассажирского типа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вагон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A, B,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2A, 55B, C, E</w:t>
            </w:r>
          </w:p>
          <w:p w:rsidR="00000000" w:rsidDel="00000000" w:rsidP="00000000" w:rsidRDefault="00000000" w:rsidRPr="00000000" w14:paraId="00000140">
            <w:pPr>
              <w:spacing w:before="240" w:line="343.6363636363637" w:lineRule="auto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или 55B, 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40.0" w:type="dxa"/>
              <w:bottom w:w="10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240" w:line="343.6363636363637" w:lineRule="auto"/>
              <w:jc w:val="center"/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d2d2d"/>
                <w:sz w:val="21"/>
                <w:szCs w:val="21"/>
                <w:rtl w:val="0"/>
              </w:rPr>
              <w:t xml:space="preserve">2</w:t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shd w:fill="ffffff" w:val="clear"/>
        <w:spacing w:before="240" w:line="343.6363636363637" w:lineRule="auto"/>
        <w:rPr>
          <w:i w:val="1"/>
          <w:color w:val="2d2d2d"/>
          <w:sz w:val="18"/>
          <w:szCs w:val="18"/>
        </w:rPr>
      </w:pPr>
      <w:r w:rsidDel="00000000" w:rsidR="00000000" w:rsidRPr="00000000">
        <w:rPr>
          <w:i w:val="1"/>
          <w:color w:val="2d2d2d"/>
          <w:sz w:val="18"/>
          <w:szCs w:val="18"/>
          <w:rtl w:val="0"/>
        </w:rPr>
        <w:t xml:space="preserve">Примечание. В железнодорожном подвижном составе, в котором находятся разные виды горючего материала и возможно возникновение различных классов пожара, используются универсальные по области применения огнетушители. </w:t>
      </w:r>
    </w:p>
    <w:p w:rsidR="00000000" w:rsidDel="00000000" w:rsidP="00000000" w:rsidRDefault="00000000" w:rsidRPr="00000000" w14:paraId="0000014A">
      <w:pPr>
        <w:shd w:fill="ffffff" w:val="clear"/>
        <w:spacing w:before="240" w:line="343.6363636363637" w:lineRule="auto"/>
        <w:rPr>
          <w:i w:val="1"/>
          <w:color w:val="2d2d2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hd w:fill="ffffff" w:val="clear"/>
        <w:spacing w:before="240" w:line="343.6363636363637" w:lineRule="auto"/>
        <w:rPr>
          <w:i w:val="1"/>
          <w:color w:val="2d2d2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